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35F" w:rsidRDefault="0072535F" w:rsidP="008C4369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C15C5">
        <w:rPr>
          <w:rFonts w:ascii="Times New Roman" w:hAnsi="Times New Roman"/>
          <w:sz w:val="24"/>
          <w:szCs w:val="24"/>
        </w:rPr>
        <w:t>Пр</w:t>
      </w:r>
      <w:bookmarkStart w:id="0" w:name="_GoBack"/>
      <w:bookmarkEnd w:id="0"/>
      <w:r w:rsidRPr="007C15C5">
        <w:rPr>
          <w:rFonts w:ascii="Times New Roman" w:hAnsi="Times New Roman"/>
          <w:sz w:val="24"/>
          <w:szCs w:val="24"/>
        </w:rPr>
        <w:t xml:space="preserve">иложение № </w:t>
      </w:r>
      <w:r>
        <w:rPr>
          <w:rFonts w:ascii="Times New Roman" w:hAnsi="Times New Roman"/>
          <w:sz w:val="24"/>
          <w:szCs w:val="24"/>
        </w:rPr>
        <w:t>34</w:t>
      </w:r>
    </w:p>
    <w:p w:rsidR="0072535F" w:rsidRPr="00003FA4" w:rsidRDefault="0072535F" w:rsidP="008C436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3FA4">
        <w:rPr>
          <w:rFonts w:ascii="Times New Roman" w:hAnsi="Times New Roman"/>
          <w:sz w:val="24"/>
          <w:szCs w:val="24"/>
        </w:rPr>
        <w:t>к Тарифному соглашению</w:t>
      </w:r>
    </w:p>
    <w:p w:rsidR="0072535F" w:rsidRPr="00003FA4" w:rsidRDefault="00F81ECC" w:rsidP="008C4369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3FA4">
        <w:rPr>
          <w:rFonts w:ascii="Times New Roman" w:hAnsi="Times New Roman"/>
          <w:sz w:val="24"/>
          <w:szCs w:val="24"/>
        </w:rPr>
        <w:t xml:space="preserve">в системе ОМС от </w:t>
      </w:r>
      <w:r w:rsidR="00EB3F24">
        <w:rPr>
          <w:rFonts w:ascii="Times New Roman" w:hAnsi="Times New Roman"/>
          <w:sz w:val="24"/>
          <w:szCs w:val="24"/>
        </w:rPr>
        <w:t>29</w:t>
      </w:r>
      <w:r w:rsidRPr="00003FA4">
        <w:rPr>
          <w:rFonts w:ascii="Times New Roman" w:hAnsi="Times New Roman"/>
          <w:sz w:val="24"/>
          <w:szCs w:val="24"/>
        </w:rPr>
        <w:t>.01.2025</w:t>
      </w:r>
      <w:r w:rsidR="0072535F" w:rsidRPr="00003FA4">
        <w:rPr>
          <w:rFonts w:ascii="Times New Roman" w:hAnsi="Times New Roman"/>
          <w:sz w:val="24"/>
          <w:szCs w:val="24"/>
        </w:rPr>
        <w:t xml:space="preserve"> </w:t>
      </w:r>
    </w:p>
    <w:p w:rsidR="0072752D" w:rsidRPr="0072752D" w:rsidRDefault="0072752D" w:rsidP="007275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2752D" w:rsidRPr="0072752D" w:rsidRDefault="0072752D" w:rsidP="007275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7043A" w:rsidRPr="0039348F" w:rsidRDefault="00E7043A" w:rsidP="00E704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 xml:space="preserve">ПЕРЕЧЕНЬ СЛУЧАЕВ, </w:t>
      </w:r>
    </w:p>
    <w:p w:rsidR="00E7043A" w:rsidRPr="0039348F" w:rsidRDefault="00E7043A" w:rsidP="00E704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ДЛЯ КОТОРЫХ УСТАНОВЛЕН КСЛП</w:t>
      </w:r>
    </w:p>
    <w:p w:rsidR="00E7043A" w:rsidRPr="0039348F" w:rsidRDefault="00E7043A" w:rsidP="00E704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6"/>
        <w:tblW w:w="9913" w:type="dxa"/>
        <w:tblLook w:val="04A0" w:firstRow="1" w:lastRow="0" w:firstColumn="1" w:lastColumn="0" w:noHBand="0" w:noVBand="1"/>
      </w:tblPr>
      <w:tblGrid>
        <w:gridCol w:w="566"/>
        <w:gridCol w:w="8047"/>
        <w:gridCol w:w="1300"/>
      </w:tblGrid>
      <w:tr w:rsidR="00E7043A" w:rsidRPr="00492AEB" w:rsidTr="008C4369">
        <w:trPr>
          <w:trHeight w:val="679"/>
          <w:tblHeader/>
        </w:trPr>
        <w:tc>
          <w:tcPr>
            <w:tcW w:w="566" w:type="dxa"/>
            <w:vAlign w:val="center"/>
          </w:tcPr>
          <w:p w:rsidR="00E7043A" w:rsidRPr="00E7043A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7043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047" w:type="dxa"/>
            <w:vAlign w:val="center"/>
          </w:tcPr>
          <w:p w:rsidR="00E7043A" w:rsidRPr="00E7043A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7043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300" w:type="dxa"/>
            <w:vAlign w:val="center"/>
          </w:tcPr>
          <w:p w:rsidR="00E7043A" w:rsidRPr="00E7043A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7043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Значение КСЛП</w:t>
            </w:r>
          </w:p>
        </w:tc>
      </w:tr>
      <w:tr w:rsidR="00FA31A2" w:rsidRPr="00492AEB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 в возрасте до 18 лет),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FA31A2" w:rsidRPr="00492AEB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онкология» и (или) «гематология»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FA31A2" w:rsidRPr="00492AEB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FA31A2" w:rsidRPr="00492AEB" w:rsidTr="008C4369">
        <w:trPr>
          <w:trHeight w:val="469"/>
        </w:trPr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47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развертывание индивидуального поста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FA31A2" w:rsidRPr="00492AEB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 пациента тяжелой сопутствующей патологии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0,6</w:t>
            </w:r>
          </w:p>
        </w:tc>
      </w:tr>
      <w:tr w:rsidR="00FA31A2" w:rsidRPr="00492AEB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0,05</w:t>
            </w:r>
          </w:p>
        </w:tc>
      </w:tr>
      <w:tr w:rsidR="00FA31A2" w:rsidRPr="00FA31A2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0,47</w:t>
            </w:r>
          </w:p>
        </w:tc>
      </w:tr>
      <w:tr w:rsidR="00FA31A2" w:rsidRPr="00FA31A2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1,16</w:t>
            </w:r>
          </w:p>
        </w:tc>
      </w:tr>
      <w:tr w:rsidR="00FA31A2" w:rsidRPr="00FA31A2" w:rsidTr="008C4369">
        <w:tc>
          <w:tcPr>
            <w:tcW w:w="566" w:type="dxa"/>
            <w:vAlign w:val="center"/>
          </w:tcPr>
          <w:p w:rsidR="00FA31A2" w:rsidRPr="00FA31A2" w:rsidRDefault="00FA31A2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047" w:type="dxa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00" w:type="dxa"/>
            <w:vAlign w:val="center"/>
          </w:tcPr>
          <w:p w:rsidR="00FA31A2" w:rsidRPr="00FA31A2" w:rsidRDefault="00FA31A2" w:rsidP="00106F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2,07</w:t>
            </w:r>
          </w:p>
        </w:tc>
      </w:tr>
      <w:tr w:rsidR="00E7043A" w:rsidRPr="00FA31A2" w:rsidTr="008C4369">
        <w:tc>
          <w:tcPr>
            <w:tcW w:w="566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47" w:type="dxa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00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3,49</w:t>
            </w:r>
          </w:p>
        </w:tc>
      </w:tr>
      <w:tr w:rsidR="00E7043A" w:rsidRPr="00FA31A2" w:rsidTr="008C4369">
        <w:tc>
          <w:tcPr>
            <w:tcW w:w="566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47" w:type="dxa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300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0,15</w:t>
            </w:r>
          </w:p>
        </w:tc>
      </w:tr>
      <w:tr w:rsidR="004D7B7B" w:rsidRPr="00FA31A2" w:rsidTr="008C4369">
        <w:tc>
          <w:tcPr>
            <w:tcW w:w="566" w:type="dxa"/>
            <w:vAlign w:val="center"/>
          </w:tcPr>
          <w:p w:rsidR="004D7B7B" w:rsidRPr="00FA31A2" w:rsidRDefault="004D7B7B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7" w:type="dxa"/>
          </w:tcPr>
          <w:p w:rsidR="004D7B7B" w:rsidRPr="00FA31A2" w:rsidRDefault="004D7B7B" w:rsidP="00624D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 тестирования на выявление респираторных вирусных заболеваний (грипп, COVID-19) в период госпитализации**</w:t>
            </w:r>
          </w:p>
        </w:tc>
        <w:tc>
          <w:tcPr>
            <w:tcW w:w="1300" w:type="dxa"/>
            <w:vAlign w:val="center"/>
          </w:tcPr>
          <w:p w:rsidR="004D7B7B" w:rsidRPr="00FA31A2" w:rsidRDefault="004D7B7B" w:rsidP="00624D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</w:tr>
      <w:tr w:rsidR="00E7043A" w:rsidRPr="00FA31A2" w:rsidTr="008C4369">
        <w:tc>
          <w:tcPr>
            <w:tcW w:w="566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D7B7B"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7" w:type="dxa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59363C"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(уровень 1)</w:t>
            </w: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00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59363C"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59363C" w:rsidRPr="00FA31A2" w:rsidTr="008C4369">
        <w:tc>
          <w:tcPr>
            <w:tcW w:w="566" w:type="dxa"/>
            <w:vAlign w:val="center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4D7B7B"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7" w:type="dxa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1300" w:type="dxa"/>
            <w:vAlign w:val="center"/>
          </w:tcPr>
          <w:p w:rsidR="0059363C" w:rsidRPr="00FA31A2" w:rsidDel="00673B5D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</w:tr>
      <w:tr w:rsidR="0059363C" w:rsidRPr="00FA31A2" w:rsidTr="008C4369">
        <w:tc>
          <w:tcPr>
            <w:tcW w:w="566" w:type="dxa"/>
            <w:vAlign w:val="center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D7B7B"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7" w:type="dxa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1300" w:type="dxa"/>
            <w:vAlign w:val="center"/>
          </w:tcPr>
          <w:p w:rsidR="0059363C" w:rsidRPr="00FA31A2" w:rsidDel="00673B5D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</w:tr>
      <w:tr w:rsidR="00E7043A" w:rsidRPr="00FA31A2" w:rsidTr="008C4369">
        <w:tc>
          <w:tcPr>
            <w:tcW w:w="566" w:type="dxa"/>
            <w:vAlign w:val="center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D7B7B"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7" w:type="dxa"/>
          </w:tcPr>
          <w:p w:rsidR="00E7043A" w:rsidRPr="00FA31A2" w:rsidRDefault="00E7043A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="0059363C"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(уровень 1)</w:t>
            </w: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00" w:type="dxa"/>
            <w:vAlign w:val="center"/>
          </w:tcPr>
          <w:p w:rsidR="00E7043A" w:rsidRPr="00FA31A2" w:rsidRDefault="0059363C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0,29</w:t>
            </w:r>
          </w:p>
        </w:tc>
      </w:tr>
      <w:tr w:rsidR="0059363C" w:rsidRPr="00FA31A2" w:rsidTr="008C4369">
        <w:tc>
          <w:tcPr>
            <w:tcW w:w="566" w:type="dxa"/>
            <w:vAlign w:val="center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4D7B7B"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7" w:type="dxa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1300" w:type="dxa"/>
            <w:vAlign w:val="center"/>
          </w:tcPr>
          <w:p w:rsidR="0059363C" w:rsidRPr="00FA31A2" w:rsidDel="006B7F3A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</w:tr>
      <w:tr w:rsidR="0059363C" w:rsidRPr="00FA31A2" w:rsidTr="008C4369">
        <w:tc>
          <w:tcPr>
            <w:tcW w:w="566" w:type="dxa"/>
            <w:vAlign w:val="center"/>
          </w:tcPr>
          <w:p w:rsidR="0059363C" w:rsidRPr="00FA31A2" w:rsidRDefault="004D7B7B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7" w:type="dxa"/>
          </w:tcPr>
          <w:p w:rsidR="0059363C" w:rsidRPr="00FA31A2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1300" w:type="dxa"/>
            <w:vAlign w:val="center"/>
          </w:tcPr>
          <w:p w:rsidR="0059363C" w:rsidRPr="00FA31A2" w:rsidDel="006B7F3A" w:rsidRDefault="0059363C" w:rsidP="00275F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</w:tr>
    </w:tbl>
    <w:p w:rsidR="00E7043A" w:rsidRPr="00FA31A2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</w:p>
    <w:p w:rsidR="00E7043A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FA31A2">
        <w:rPr>
          <w:rFonts w:ascii="Times New Roman" w:hAnsi="Times New Roman"/>
          <w:color w:val="000000" w:themeColor="text1"/>
          <w:vertAlign w:val="superscript"/>
        </w:rPr>
        <w:t xml:space="preserve">1 </w:t>
      </w:r>
      <w:r w:rsidRPr="00FA31A2">
        <w:rPr>
          <w:rFonts w:ascii="Times New Roman" w:hAnsi="Times New Roman"/>
          <w:color w:val="000000" w:themeColor="text1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  <w:r w:rsidR="00E4619B" w:rsidRPr="00FA31A2">
        <w:rPr>
          <w:rFonts w:ascii="Times New Roman" w:hAnsi="Times New Roman"/>
          <w:color w:val="000000" w:themeColor="text1"/>
        </w:rPr>
        <w:t>;</w:t>
      </w:r>
    </w:p>
    <w:p w:rsidR="005445BD" w:rsidRPr="00FA31A2" w:rsidRDefault="005445BD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E7043A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FA31A2">
        <w:rPr>
          <w:rFonts w:ascii="Times New Roman" w:hAnsi="Times New Roman"/>
          <w:color w:val="000000" w:themeColor="text1"/>
          <w:vertAlign w:val="superscript"/>
        </w:rPr>
        <w:t>2</w:t>
      </w:r>
      <w:r w:rsidRPr="00FA31A2">
        <w:rPr>
          <w:rFonts w:ascii="Times New Roman" w:hAnsi="Times New Roman"/>
          <w:color w:val="000000" w:themeColor="text1"/>
        </w:rPr>
        <w:t xml:space="preserve"> – перечень возможных операций, а также критерии отнесения соответствующих операций к уровню КСЛП определен Приложением</w:t>
      </w:r>
      <w:r w:rsidR="002C1D40" w:rsidRPr="00FA31A2">
        <w:rPr>
          <w:rFonts w:ascii="Times New Roman" w:hAnsi="Times New Roman"/>
          <w:color w:val="000000" w:themeColor="text1"/>
        </w:rPr>
        <w:t>и</w:t>
      </w:r>
      <w:r w:rsidR="00E4619B" w:rsidRPr="00FA31A2">
        <w:rPr>
          <w:rFonts w:ascii="Times New Roman" w:hAnsi="Times New Roman"/>
          <w:color w:val="000000" w:themeColor="text1"/>
        </w:rPr>
        <w:t xml:space="preserve"> №</w:t>
      </w:r>
      <w:r w:rsidR="002C1D40" w:rsidRPr="00FA31A2">
        <w:rPr>
          <w:rFonts w:ascii="Times New Roman" w:hAnsi="Times New Roman"/>
          <w:color w:val="000000" w:themeColor="text1"/>
        </w:rPr>
        <w:t>35,36</w:t>
      </w:r>
      <w:r w:rsidR="00E4619B" w:rsidRPr="00FA31A2">
        <w:rPr>
          <w:rFonts w:ascii="Times New Roman" w:hAnsi="Times New Roman"/>
          <w:color w:val="000000" w:themeColor="text1"/>
        </w:rPr>
        <w:t>;</w:t>
      </w:r>
    </w:p>
    <w:p w:rsidR="005445BD" w:rsidRPr="00FA31A2" w:rsidRDefault="005445BD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E7043A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FA31A2">
        <w:rPr>
          <w:rFonts w:ascii="Times New Roman" w:hAnsi="Times New Roman"/>
          <w:color w:val="000000" w:themeColor="text1"/>
          <w:vertAlign w:val="superscript"/>
        </w:rPr>
        <w:t>3</w:t>
      </w:r>
      <w:r w:rsidRPr="00FA31A2">
        <w:rPr>
          <w:rFonts w:ascii="Times New Roman" w:hAnsi="Times New Roman"/>
          <w:color w:val="000000" w:themeColor="text1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E4619B" w:rsidRPr="00FA31A2">
        <w:rPr>
          <w:rFonts w:ascii="Times New Roman" w:hAnsi="Times New Roman"/>
          <w:color w:val="000000" w:themeColor="text1"/>
        </w:rPr>
        <w:t>;</w:t>
      </w:r>
    </w:p>
    <w:p w:rsidR="005445BD" w:rsidRPr="00FA31A2" w:rsidRDefault="005445BD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E7043A" w:rsidRPr="00FA31A2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FA31A2">
        <w:rPr>
          <w:rFonts w:ascii="Times New Roman" w:hAnsi="Times New Roman"/>
          <w:color w:val="000000" w:themeColor="text1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FA31A2">
        <w:t xml:space="preserve"> </w:t>
      </w:r>
      <w:r w:rsidRPr="00FA31A2">
        <w:rPr>
          <w:rFonts w:ascii="Times New Roman" w:hAnsi="Times New Roman"/>
          <w:color w:val="000000" w:themeColor="text1"/>
        </w:rPr>
        <w:t>в соответствии с клиническими рекомендациями» в стационарных условиях и в условиях дневного стационара определяется без уч</w:t>
      </w:r>
      <w:r w:rsidR="00E4619B" w:rsidRPr="00FA31A2">
        <w:rPr>
          <w:rFonts w:ascii="Times New Roman" w:hAnsi="Times New Roman"/>
          <w:color w:val="000000" w:themeColor="text1"/>
        </w:rPr>
        <w:t>ета коэффициента дифференциации;</w:t>
      </w:r>
    </w:p>
    <w:p w:rsidR="00E4619B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К таким сопутствующим заболеваниям и осложнениям заболеваний целесообразно относить: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Сахарный диабет типа 1 и 2;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Заболевания, включенные в Перечень редких (орфанных) заболеваний, размещенный на официальном сайте Министерства здравоохранения Российской Федерации;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Рассеянный склероз (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G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>35);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Хронический лимфоцитарный лейкоз (С91.1);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Состояния после трансплантации органов и (или) тканей (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Z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 xml:space="preserve">94.0; 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Z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 xml:space="preserve">94.1; 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Z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 xml:space="preserve">94.4; 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Z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>94.8);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Детский церебральный паралич (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G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>80);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ВИЧ/СПИД, стадии 4Б и 4В, взрослые (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B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 xml:space="preserve">20 – 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B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>24);</w:t>
      </w:r>
    </w:p>
    <w:p w:rsidR="00E4619B" w:rsidRPr="00E7043A" w:rsidRDefault="00E4619B" w:rsidP="00E4619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043A">
        <w:rPr>
          <w:rFonts w:ascii="Times New Roman" w:hAnsi="Times New Roman"/>
          <w:color w:val="000000" w:themeColor="text1"/>
          <w:sz w:val="24"/>
          <w:szCs w:val="24"/>
        </w:rPr>
        <w:t>- Перинатальный контакт по ВИЧ-инфекции, дети (</w:t>
      </w:r>
      <w:r w:rsidRPr="00E7043A">
        <w:rPr>
          <w:rFonts w:ascii="Times New Roman" w:hAnsi="Times New Roman"/>
          <w:color w:val="000000" w:themeColor="text1"/>
          <w:sz w:val="24"/>
          <w:szCs w:val="24"/>
          <w:lang w:val="en-US"/>
        </w:rPr>
        <w:t>Z</w:t>
      </w:r>
      <w:r w:rsidRPr="00E7043A">
        <w:rPr>
          <w:rFonts w:ascii="Times New Roman" w:hAnsi="Times New Roman"/>
          <w:color w:val="000000" w:themeColor="text1"/>
          <w:sz w:val="24"/>
          <w:szCs w:val="24"/>
        </w:rPr>
        <w:t>20.6).</w:t>
      </w:r>
    </w:p>
    <w:p w:rsidR="00E4619B" w:rsidRPr="00E7043A" w:rsidRDefault="00E4619B" w:rsidP="00E461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043A" w:rsidRPr="00E7043A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E7043A" w:rsidRPr="00E7043A" w:rsidRDefault="00E7043A" w:rsidP="00E704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E7043A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</w:t>
      </w:r>
    </w:p>
    <w:p w:rsidR="00E7043A" w:rsidRPr="00E7043A" w:rsidRDefault="00E7043A" w:rsidP="00E7043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E7043A" w:rsidRPr="0038664F" w:rsidRDefault="00E7043A" w:rsidP="003866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8664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</w:t>
      </w:r>
      <w:r w:rsidR="005936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089, st19.094-st19.102, st19.144-st19.162</w:t>
      </w:r>
      <w:r w:rsidRPr="0038664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 в условиях дневного стационара по КСГ ds19.058-ds19</w:t>
      </w:r>
      <w:r w:rsidR="0059363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.062, ds19.067-ds19.078, ds19.116-ds19.134</w:t>
      </w:r>
      <w:r w:rsidRPr="0038664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38664F" w:rsidRPr="0038664F" w:rsidRDefault="0038664F" w:rsidP="003866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8664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 использовании схем лекарственной терапии, предусматривающих применение лекарственных препаратов филграстим, деносумаб, эмпэгфилграстим,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E7043A" w:rsidRPr="0038664F" w:rsidRDefault="00E7043A" w:rsidP="003866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8664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E7043A" w:rsidRPr="00E7043A" w:rsidRDefault="00E7043A" w:rsidP="00E7043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02"/>
        <w:gridCol w:w="1147"/>
        <w:gridCol w:w="5330"/>
        <w:gridCol w:w="2517"/>
      </w:tblGrid>
      <w:tr w:rsidR="000630E7" w:rsidRPr="00E7043A" w:rsidTr="008C4369">
        <w:tc>
          <w:tcPr>
            <w:tcW w:w="1002" w:type="dxa"/>
            <w:vAlign w:val="center"/>
          </w:tcPr>
          <w:p w:rsidR="000630E7" w:rsidRPr="00E7043A" w:rsidRDefault="000630E7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043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1147" w:type="dxa"/>
          </w:tcPr>
          <w:p w:rsidR="000630E7" w:rsidRPr="000630E7" w:rsidRDefault="000630E7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630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Уровень КСЛП</w:t>
            </w:r>
          </w:p>
        </w:tc>
        <w:tc>
          <w:tcPr>
            <w:tcW w:w="5330" w:type="dxa"/>
            <w:tcBorders>
              <w:bottom w:val="single" w:sz="4" w:space="0" w:color="auto"/>
            </w:tcBorders>
            <w:vAlign w:val="center"/>
          </w:tcPr>
          <w:p w:rsidR="000630E7" w:rsidRPr="00E7043A" w:rsidRDefault="000630E7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043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517" w:type="dxa"/>
            <w:vAlign w:val="center"/>
          </w:tcPr>
          <w:p w:rsidR="000630E7" w:rsidRPr="00E7043A" w:rsidRDefault="000630E7" w:rsidP="00431D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043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Филграстим 4 дня введения по 300 мкг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Деносумаб 1 день введения 120 мг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31A2">
              <w:rPr>
                <w:rFonts w:ascii="Times New Roman" w:hAnsi="Times New Roman"/>
                <w:color w:val="000000"/>
                <w:sz w:val="24"/>
                <w:szCs w:val="24"/>
              </w:rPr>
              <w:t>клиренс креатинина &lt;59 мл/мин на момент принятия решения о назначении препарата Деносумаб</w:t>
            </w: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Тоцилизумаб 1 день введения 4 мг/кг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Филграстим 8 дней введения по 300 мкг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Эмпэгфилграстим 1 день введения 7,5 мг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Филграстим 10 дней введения по 300 мкг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Микофенолата мофетил 30 дней введения по 500 мг 2 раза в день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Такролимус 30 дней введения по 0,1 мг/кг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Ведолизумаб 1 день введения 300 мг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Инфликсимаб 1 день введения 800 мг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4369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630E7" w:rsidRPr="00E7043A" w:rsidTr="008C4369">
        <w:tc>
          <w:tcPr>
            <w:tcW w:w="1002" w:type="dxa"/>
            <w:vAlign w:val="center"/>
          </w:tcPr>
          <w:p w:rsidR="000630E7" w:rsidRPr="00FA31A2" w:rsidRDefault="000630E7" w:rsidP="008C436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1147" w:type="dxa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30E7" w:rsidRPr="00FA31A2" w:rsidRDefault="000630E7" w:rsidP="008C436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A31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517" w:type="dxa"/>
            <w:vAlign w:val="center"/>
          </w:tcPr>
          <w:p w:rsidR="000630E7" w:rsidRPr="00FA31A2" w:rsidRDefault="000630E7" w:rsidP="008C43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7043A" w:rsidRPr="00E7043A" w:rsidRDefault="00E7043A" w:rsidP="00E7043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E7043A" w:rsidRPr="00E7043A" w:rsidRDefault="00E7043A" w:rsidP="00E7043A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sectPr w:rsidR="00E7043A" w:rsidRPr="00E7043A" w:rsidSect="00A9582F">
      <w:pgSz w:w="11906" w:h="16838"/>
      <w:pgMar w:top="993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438" w:rsidRDefault="002F1438" w:rsidP="0072752D">
      <w:pPr>
        <w:spacing w:after="0" w:line="240" w:lineRule="auto"/>
      </w:pPr>
      <w:r>
        <w:separator/>
      </w:r>
    </w:p>
  </w:endnote>
  <w:endnote w:type="continuationSeparator" w:id="0">
    <w:p w:rsidR="002F1438" w:rsidRDefault="002F1438" w:rsidP="0072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438" w:rsidRDefault="002F1438" w:rsidP="0072752D">
      <w:pPr>
        <w:spacing w:after="0" w:line="240" w:lineRule="auto"/>
      </w:pPr>
      <w:r>
        <w:separator/>
      </w:r>
    </w:p>
  </w:footnote>
  <w:footnote w:type="continuationSeparator" w:id="0">
    <w:p w:rsidR="002F1438" w:rsidRDefault="002F1438" w:rsidP="007275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52D"/>
    <w:rsid w:val="00003FA4"/>
    <w:rsid w:val="00054E54"/>
    <w:rsid w:val="000630E7"/>
    <w:rsid w:val="000C6C67"/>
    <w:rsid w:val="000E4A2E"/>
    <w:rsid w:val="00110ABB"/>
    <w:rsid w:val="00145801"/>
    <w:rsid w:val="001F4F3A"/>
    <w:rsid w:val="002608B5"/>
    <w:rsid w:val="002B4F3B"/>
    <w:rsid w:val="002C1D40"/>
    <w:rsid w:val="002F1438"/>
    <w:rsid w:val="00362CE6"/>
    <w:rsid w:val="0038664F"/>
    <w:rsid w:val="00485793"/>
    <w:rsid w:val="004C4055"/>
    <w:rsid w:val="004D7B7B"/>
    <w:rsid w:val="004F73AE"/>
    <w:rsid w:val="0054357A"/>
    <w:rsid w:val="005445BD"/>
    <w:rsid w:val="0059363C"/>
    <w:rsid w:val="006222D0"/>
    <w:rsid w:val="006A1D92"/>
    <w:rsid w:val="006E38B9"/>
    <w:rsid w:val="00713C0C"/>
    <w:rsid w:val="0072535F"/>
    <w:rsid w:val="0072752D"/>
    <w:rsid w:val="007D0257"/>
    <w:rsid w:val="00830B5A"/>
    <w:rsid w:val="00843551"/>
    <w:rsid w:val="00845FFD"/>
    <w:rsid w:val="008A6C26"/>
    <w:rsid w:val="008C4369"/>
    <w:rsid w:val="009F54CA"/>
    <w:rsid w:val="00A17C29"/>
    <w:rsid w:val="00A30558"/>
    <w:rsid w:val="00A85945"/>
    <w:rsid w:val="00A9582F"/>
    <w:rsid w:val="00AF2860"/>
    <w:rsid w:val="00AF4351"/>
    <w:rsid w:val="00B817F0"/>
    <w:rsid w:val="00B84F21"/>
    <w:rsid w:val="00BB2E02"/>
    <w:rsid w:val="00BC0832"/>
    <w:rsid w:val="00C3159A"/>
    <w:rsid w:val="00C32577"/>
    <w:rsid w:val="00C368B8"/>
    <w:rsid w:val="00D272CA"/>
    <w:rsid w:val="00DC310B"/>
    <w:rsid w:val="00E12771"/>
    <w:rsid w:val="00E44369"/>
    <w:rsid w:val="00E4619B"/>
    <w:rsid w:val="00E7043A"/>
    <w:rsid w:val="00EA407A"/>
    <w:rsid w:val="00EB3F24"/>
    <w:rsid w:val="00EE6FAE"/>
    <w:rsid w:val="00F1230C"/>
    <w:rsid w:val="00F81ECC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DA0EE-99BF-4594-A1CE-C89C7D26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5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iPriority w:val="99"/>
    <w:unhideWhenUsed/>
    <w:rsid w:val="0072752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uiPriority w:val="99"/>
    <w:rsid w:val="0072752D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2752D"/>
    <w:rPr>
      <w:vertAlign w:val="superscript"/>
    </w:rPr>
  </w:style>
  <w:style w:type="table" w:styleId="a6">
    <w:name w:val="Table Grid"/>
    <w:basedOn w:val="a1"/>
    <w:rsid w:val="00E70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FA31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rsid w:val="00FA31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A31A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95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58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8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Pshizova</dc:creator>
  <cp:lastModifiedBy>Марина</cp:lastModifiedBy>
  <cp:revision>27</cp:revision>
  <cp:lastPrinted>2025-02-07T07:10:00Z</cp:lastPrinted>
  <dcterms:created xsi:type="dcterms:W3CDTF">2022-01-18T09:57:00Z</dcterms:created>
  <dcterms:modified xsi:type="dcterms:W3CDTF">2025-02-07T12:51:00Z</dcterms:modified>
</cp:coreProperties>
</file>